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128" w:rsidRPr="00204128" w:rsidRDefault="00204128" w:rsidP="00204128">
      <w:pPr>
        <w:spacing w:after="0" w:line="480" w:lineRule="auto"/>
        <w:ind w:left="720" w:hanging="720"/>
        <w:rPr>
          <w:rFonts w:ascii="Times New Roman" w:hAnsi="Times New Roman" w:cs="Times New Roman"/>
          <w:color w:val="000000"/>
          <w:sz w:val="24"/>
          <w:szCs w:val="24"/>
        </w:rPr>
      </w:pPr>
      <w:r w:rsidRPr="00204128">
        <w:rPr>
          <w:rFonts w:ascii="Times New Roman" w:hAnsi="Times New Roman" w:cs="Times New Roman"/>
          <w:color w:val="000000"/>
          <w:sz w:val="24"/>
          <w:szCs w:val="24"/>
        </w:rPr>
        <w:t>Shannon Dykstra</w:t>
      </w:r>
    </w:p>
    <w:p w:rsidR="00204128" w:rsidRPr="00204128" w:rsidRDefault="00204128" w:rsidP="00204128">
      <w:pPr>
        <w:spacing w:after="0" w:line="480" w:lineRule="auto"/>
        <w:ind w:left="720" w:hanging="720"/>
        <w:rPr>
          <w:rFonts w:ascii="Times New Roman" w:hAnsi="Times New Roman" w:cs="Times New Roman"/>
          <w:color w:val="000000"/>
          <w:sz w:val="24"/>
          <w:szCs w:val="24"/>
        </w:rPr>
      </w:pPr>
      <w:r w:rsidRPr="00204128">
        <w:rPr>
          <w:rFonts w:ascii="Times New Roman" w:eastAsia="Times New Roman" w:hAnsi="Times New Roman" w:cs="Times New Roman"/>
          <w:color w:val="000000"/>
          <w:sz w:val="24"/>
          <w:szCs w:val="24"/>
        </w:rPr>
        <w:t>Dr. Michelle Beissel-Heath</w:t>
      </w:r>
    </w:p>
    <w:p w:rsidR="00204128" w:rsidRPr="00204128" w:rsidRDefault="00204128" w:rsidP="00204128">
      <w:pPr>
        <w:shd w:val="clear" w:color="auto" w:fill="FFFFFF"/>
        <w:spacing w:after="0" w:line="480" w:lineRule="auto"/>
        <w:rPr>
          <w:rFonts w:ascii="Times New Roman" w:eastAsia="Times New Roman" w:hAnsi="Times New Roman" w:cs="Times New Roman"/>
          <w:color w:val="000000"/>
          <w:sz w:val="24"/>
          <w:szCs w:val="24"/>
        </w:rPr>
      </w:pPr>
      <w:r w:rsidRPr="00204128">
        <w:rPr>
          <w:rFonts w:ascii="Times New Roman" w:eastAsia="Times New Roman" w:hAnsi="Times New Roman" w:cs="Times New Roman"/>
          <w:color w:val="000000"/>
          <w:sz w:val="24"/>
          <w:szCs w:val="24"/>
        </w:rPr>
        <w:t>English 88401</w:t>
      </w:r>
    </w:p>
    <w:p w:rsidR="00204128" w:rsidRPr="00204128" w:rsidRDefault="00204128" w:rsidP="00204128">
      <w:pPr>
        <w:spacing w:after="0" w:line="480" w:lineRule="auto"/>
        <w:ind w:left="720" w:hanging="720"/>
        <w:rPr>
          <w:rFonts w:ascii="Times New Roman" w:hAnsi="Times New Roman" w:cs="Times New Roman"/>
          <w:color w:val="000000"/>
          <w:sz w:val="24"/>
          <w:szCs w:val="24"/>
        </w:rPr>
      </w:pPr>
      <w:r w:rsidRPr="00204128">
        <w:rPr>
          <w:rFonts w:ascii="Times New Roman" w:hAnsi="Times New Roman" w:cs="Times New Roman"/>
          <w:color w:val="000000"/>
          <w:sz w:val="24"/>
          <w:szCs w:val="24"/>
        </w:rPr>
        <w:t>24 March 2012</w:t>
      </w:r>
    </w:p>
    <w:p w:rsidR="00204128" w:rsidRPr="00204128" w:rsidRDefault="00204128" w:rsidP="00204128">
      <w:pPr>
        <w:spacing w:after="0" w:line="480" w:lineRule="auto"/>
        <w:ind w:left="720" w:hanging="720"/>
        <w:jc w:val="center"/>
        <w:rPr>
          <w:rFonts w:ascii="Times New Roman" w:hAnsi="Times New Roman" w:cs="Times New Roman"/>
          <w:b/>
          <w:color w:val="000000"/>
          <w:sz w:val="24"/>
          <w:szCs w:val="24"/>
        </w:rPr>
      </w:pPr>
      <w:r w:rsidRPr="00204128">
        <w:rPr>
          <w:rFonts w:ascii="Times New Roman" w:hAnsi="Times New Roman" w:cs="Times New Roman"/>
          <w:b/>
          <w:color w:val="000000"/>
          <w:sz w:val="24"/>
          <w:szCs w:val="24"/>
        </w:rPr>
        <w:t xml:space="preserve">Proposal: </w:t>
      </w:r>
      <w:r w:rsidRPr="00204128">
        <w:rPr>
          <w:rFonts w:ascii="Times New Roman" w:hAnsi="Times New Roman" w:cs="Times New Roman"/>
          <w:b/>
          <w:color w:val="000000"/>
          <w:sz w:val="24"/>
          <w:szCs w:val="24"/>
        </w:rPr>
        <w:t>Religious Criticisms in Victorian Literature</w:t>
      </w:r>
    </w:p>
    <w:p w:rsidR="00502AA9" w:rsidRDefault="00204128" w:rsidP="00204128">
      <w:pPr>
        <w:spacing w:line="480" w:lineRule="auto"/>
        <w:rPr>
          <w:rFonts w:ascii="Times New Roman" w:hAnsi="Times New Roman" w:cs="Times New Roman"/>
          <w:color w:val="000000"/>
          <w:sz w:val="24"/>
          <w:szCs w:val="24"/>
        </w:rPr>
      </w:pPr>
      <w:r w:rsidRPr="00204128">
        <w:rPr>
          <w:rStyle w:val="apple-tab-span"/>
          <w:rFonts w:ascii="Times New Roman" w:hAnsi="Times New Roman" w:cs="Times New Roman"/>
          <w:color w:val="000000"/>
          <w:sz w:val="24"/>
          <w:szCs w:val="24"/>
        </w:rPr>
        <w:tab/>
      </w:r>
      <w:r w:rsidRPr="00204128">
        <w:rPr>
          <w:rFonts w:ascii="Times New Roman" w:hAnsi="Times New Roman" w:cs="Times New Roman"/>
          <w:color w:val="000000"/>
          <w:sz w:val="24"/>
          <w:szCs w:val="24"/>
        </w:rPr>
        <w:t>The Evangelical Movement played a major role in shaping Victorian society as “one of the most powerful sources of inspiration and sites of association</w:t>
      </w:r>
      <w:r w:rsidR="004415B8">
        <w:rPr>
          <w:rFonts w:ascii="Times New Roman" w:hAnsi="Times New Roman" w:cs="Times New Roman"/>
          <w:color w:val="000000"/>
          <w:sz w:val="24"/>
          <w:szCs w:val="24"/>
        </w:rPr>
        <w:t xml:space="preserve"> in Victorian Britain.</w:t>
      </w:r>
      <w:r w:rsidRPr="00204128">
        <w:rPr>
          <w:rFonts w:ascii="Times New Roman" w:hAnsi="Times New Roman" w:cs="Times New Roman"/>
          <w:color w:val="000000"/>
          <w:sz w:val="24"/>
          <w:szCs w:val="24"/>
        </w:rPr>
        <w:t>”</w:t>
      </w:r>
      <w:r w:rsidR="004415B8">
        <w:rPr>
          <w:rStyle w:val="FootnoteReference"/>
          <w:rFonts w:ascii="Times New Roman" w:hAnsi="Times New Roman" w:cs="Times New Roman"/>
          <w:color w:val="000000"/>
          <w:sz w:val="24"/>
          <w:szCs w:val="24"/>
        </w:rPr>
        <w:footnoteReference w:id="1"/>
      </w:r>
      <w:r w:rsidRPr="00204128">
        <w:rPr>
          <w:rFonts w:ascii="Times New Roman" w:hAnsi="Times New Roman" w:cs="Times New Roman"/>
          <w:color w:val="000000"/>
          <w:sz w:val="24"/>
          <w:szCs w:val="24"/>
        </w:rPr>
        <w:t xml:space="preserve"> This influence, both within London and spread throughout the empire, inspired thought and criticism in the fiction of the time period. The fiction addressed such varied topics as hypocrisy, the missionary movement, </w:t>
      </w:r>
      <w:proofErr w:type="gramStart"/>
      <w:r w:rsidRPr="00204128">
        <w:rPr>
          <w:rFonts w:ascii="Times New Roman" w:hAnsi="Times New Roman" w:cs="Times New Roman"/>
          <w:color w:val="000000"/>
          <w:sz w:val="24"/>
          <w:szCs w:val="24"/>
        </w:rPr>
        <w:t>the</w:t>
      </w:r>
      <w:proofErr w:type="gramEnd"/>
      <w:r w:rsidRPr="00204128">
        <w:rPr>
          <w:rFonts w:ascii="Times New Roman" w:hAnsi="Times New Roman" w:cs="Times New Roman"/>
          <w:color w:val="000000"/>
          <w:sz w:val="24"/>
          <w:szCs w:val="24"/>
        </w:rPr>
        <w:t xml:space="preserve"> culture wars for the focus (internal or empirical) of the nation, revival meetings, and specifically the persuasive speaking skills of church leaders. My proposed research paper will examine the commentary regarding this movement inside of the major Victorian texts we’ve studied this term: Charlotte Bronte’s </w:t>
      </w:r>
      <w:r w:rsidRPr="00204128">
        <w:rPr>
          <w:rFonts w:ascii="Times New Roman" w:hAnsi="Times New Roman" w:cs="Times New Roman"/>
          <w:i/>
          <w:iCs/>
          <w:color w:val="000000"/>
          <w:sz w:val="24"/>
          <w:szCs w:val="24"/>
        </w:rPr>
        <w:t>Jane Eyre</w:t>
      </w:r>
      <w:r w:rsidRPr="00204128">
        <w:rPr>
          <w:rFonts w:ascii="Times New Roman" w:hAnsi="Times New Roman" w:cs="Times New Roman"/>
          <w:color w:val="000000"/>
          <w:sz w:val="24"/>
          <w:szCs w:val="24"/>
        </w:rPr>
        <w:t xml:space="preserve">, Charles Dickens’ </w:t>
      </w:r>
      <w:r w:rsidRPr="00204128">
        <w:rPr>
          <w:rFonts w:ascii="Times New Roman" w:hAnsi="Times New Roman" w:cs="Times New Roman"/>
          <w:i/>
          <w:iCs/>
          <w:color w:val="000000"/>
          <w:sz w:val="24"/>
          <w:szCs w:val="24"/>
        </w:rPr>
        <w:t>Bleak House</w:t>
      </w:r>
      <w:r w:rsidRPr="00204128">
        <w:rPr>
          <w:rFonts w:ascii="Times New Roman" w:hAnsi="Times New Roman" w:cs="Times New Roman"/>
          <w:color w:val="000000"/>
          <w:sz w:val="24"/>
          <w:szCs w:val="24"/>
        </w:rPr>
        <w:t xml:space="preserve">, and </w:t>
      </w:r>
      <w:proofErr w:type="spellStart"/>
      <w:r w:rsidRPr="00204128">
        <w:rPr>
          <w:rFonts w:ascii="Times New Roman" w:hAnsi="Times New Roman" w:cs="Times New Roman"/>
          <w:color w:val="000000"/>
          <w:sz w:val="24"/>
          <w:szCs w:val="24"/>
        </w:rPr>
        <w:t>Wilkie</w:t>
      </w:r>
      <w:proofErr w:type="spellEnd"/>
      <w:r w:rsidRPr="00204128">
        <w:rPr>
          <w:rFonts w:ascii="Times New Roman" w:hAnsi="Times New Roman" w:cs="Times New Roman"/>
          <w:color w:val="000000"/>
          <w:sz w:val="24"/>
          <w:szCs w:val="24"/>
        </w:rPr>
        <w:t xml:space="preserve"> Collins’ </w:t>
      </w:r>
      <w:r w:rsidRPr="00204128">
        <w:rPr>
          <w:rFonts w:ascii="Times New Roman" w:hAnsi="Times New Roman" w:cs="Times New Roman"/>
          <w:i/>
          <w:iCs/>
          <w:color w:val="000000"/>
          <w:sz w:val="24"/>
          <w:szCs w:val="24"/>
        </w:rPr>
        <w:t>The Moonstone</w:t>
      </w:r>
      <w:r w:rsidRPr="00204128">
        <w:rPr>
          <w:rFonts w:ascii="Times New Roman" w:hAnsi="Times New Roman" w:cs="Times New Roman"/>
          <w:color w:val="000000"/>
          <w:sz w:val="24"/>
          <w:szCs w:val="24"/>
        </w:rPr>
        <w:t xml:space="preserve">. </w:t>
      </w:r>
      <w:r w:rsidRPr="00204128">
        <w:rPr>
          <w:rFonts w:ascii="Times New Roman" w:hAnsi="Times New Roman" w:cs="Times New Roman"/>
          <w:color w:val="000000"/>
          <w:sz w:val="24"/>
          <w:szCs w:val="24"/>
        </w:rPr>
        <w:br/>
      </w:r>
      <w:r w:rsidRPr="00204128">
        <w:rPr>
          <w:rStyle w:val="apple-tab-span"/>
          <w:rFonts w:ascii="Times New Roman" w:hAnsi="Times New Roman" w:cs="Times New Roman"/>
          <w:color w:val="000000"/>
          <w:sz w:val="24"/>
          <w:szCs w:val="24"/>
        </w:rPr>
        <w:tab/>
      </w:r>
      <w:r w:rsidRPr="00204128">
        <w:rPr>
          <w:rFonts w:ascii="Times New Roman" w:hAnsi="Times New Roman" w:cs="Times New Roman"/>
          <w:color w:val="000000"/>
          <w:sz w:val="24"/>
          <w:szCs w:val="24"/>
        </w:rPr>
        <w:t>One topic of particular interest in this exploration is that of missionary zeal. While philanthropic practice was central to th</w:t>
      </w:r>
      <w:r w:rsidR="004415B8">
        <w:rPr>
          <w:rFonts w:ascii="Times New Roman" w:hAnsi="Times New Roman" w:cs="Times New Roman"/>
          <w:color w:val="000000"/>
          <w:sz w:val="24"/>
          <w:szCs w:val="24"/>
        </w:rPr>
        <w:t xml:space="preserve">e agenda of evangelicals, </w:t>
      </w:r>
      <w:r w:rsidR="00D76C3B">
        <w:rPr>
          <w:rFonts w:ascii="Times New Roman" w:hAnsi="Times New Roman" w:cs="Times New Roman"/>
          <w:color w:val="000000"/>
          <w:sz w:val="24"/>
          <w:szCs w:val="24"/>
        </w:rPr>
        <w:t>“</w:t>
      </w:r>
      <w:r w:rsidR="004415B8">
        <w:rPr>
          <w:rFonts w:ascii="Times New Roman" w:hAnsi="Times New Roman" w:cs="Times New Roman"/>
          <w:color w:val="000000"/>
          <w:sz w:val="24"/>
          <w:szCs w:val="24"/>
        </w:rPr>
        <w:t>m</w:t>
      </w:r>
      <w:r w:rsidRPr="00204128">
        <w:rPr>
          <w:rFonts w:ascii="Times New Roman" w:hAnsi="Times New Roman" w:cs="Times New Roman"/>
          <w:color w:val="000000"/>
          <w:sz w:val="24"/>
          <w:szCs w:val="24"/>
        </w:rPr>
        <w:t>issionary supporters at home were dismissed as maniacs obsessed with foreign affairs.”</w:t>
      </w:r>
      <w:r w:rsidR="00D76C3B">
        <w:rPr>
          <w:rStyle w:val="FootnoteReference"/>
          <w:rFonts w:ascii="Times New Roman" w:hAnsi="Times New Roman" w:cs="Times New Roman"/>
          <w:color w:val="000000"/>
          <w:sz w:val="24"/>
          <w:szCs w:val="24"/>
        </w:rPr>
        <w:footnoteReference w:customMarkFollows="1" w:id="2"/>
        <w:t>1</w:t>
      </w:r>
      <w:r w:rsidRPr="00204128">
        <w:rPr>
          <w:rFonts w:ascii="Times New Roman" w:hAnsi="Times New Roman" w:cs="Times New Roman"/>
          <w:color w:val="000000"/>
          <w:sz w:val="24"/>
          <w:szCs w:val="24"/>
        </w:rPr>
        <w:t xml:space="preserve"> While most fictional depictions of those missionaries in the literature are harsh and unforgiving (especially in Dickens)</w:t>
      </w:r>
      <w:proofErr w:type="gramStart"/>
      <w:r w:rsidRPr="00204128">
        <w:rPr>
          <w:rFonts w:ascii="Times New Roman" w:hAnsi="Times New Roman" w:cs="Times New Roman"/>
          <w:color w:val="000000"/>
          <w:sz w:val="24"/>
          <w:szCs w:val="24"/>
        </w:rPr>
        <w:t>,</w:t>
      </w:r>
      <w:proofErr w:type="gramEnd"/>
      <w:r w:rsidRPr="00204128">
        <w:rPr>
          <w:rFonts w:ascii="Times New Roman" w:hAnsi="Times New Roman" w:cs="Times New Roman"/>
          <w:color w:val="000000"/>
          <w:sz w:val="24"/>
          <w:szCs w:val="24"/>
        </w:rPr>
        <w:t xml:space="preserve"> there are messages of genuine belief and self-sacrifice for the cause of Christianity that must be part of the conversation as well. Characters of particular interest in this topic include Bronte’s St. John, Collins’ Godfrey </w:t>
      </w:r>
      <w:proofErr w:type="spellStart"/>
      <w:r w:rsidRPr="00204128">
        <w:rPr>
          <w:rFonts w:ascii="Times New Roman" w:hAnsi="Times New Roman" w:cs="Times New Roman"/>
          <w:color w:val="000000"/>
          <w:sz w:val="24"/>
          <w:szCs w:val="24"/>
        </w:rPr>
        <w:t>Ablewhite</w:t>
      </w:r>
      <w:proofErr w:type="spellEnd"/>
      <w:r w:rsidRPr="00204128">
        <w:rPr>
          <w:rFonts w:ascii="Times New Roman" w:hAnsi="Times New Roman" w:cs="Times New Roman"/>
          <w:color w:val="000000"/>
          <w:sz w:val="24"/>
          <w:szCs w:val="24"/>
        </w:rPr>
        <w:t xml:space="preserve"> and Miss Clack, and Dickens’ Mrs. </w:t>
      </w:r>
      <w:proofErr w:type="spellStart"/>
      <w:r w:rsidRPr="00204128">
        <w:rPr>
          <w:rFonts w:ascii="Times New Roman" w:hAnsi="Times New Roman" w:cs="Times New Roman"/>
          <w:color w:val="000000"/>
          <w:sz w:val="24"/>
          <w:szCs w:val="24"/>
        </w:rPr>
        <w:t>Pardiggle</w:t>
      </w:r>
      <w:proofErr w:type="spellEnd"/>
      <w:r w:rsidRPr="00204128">
        <w:rPr>
          <w:rFonts w:ascii="Times New Roman" w:hAnsi="Times New Roman" w:cs="Times New Roman"/>
          <w:color w:val="000000"/>
          <w:sz w:val="24"/>
          <w:szCs w:val="24"/>
        </w:rPr>
        <w:t xml:space="preserve"> and Mrs. </w:t>
      </w:r>
      <w:proofErr w:type="spellStart"/>
      <w:r w:rsidRPr="00204128">
        <w:rPr>
          <w:rFonts w:ascii="Times New Roman" w:hAnsi="Times New Roman" w:cs="Times New Roman"/>
          <w:color w:val="000000"/>
          <w:sz w:val="24"/>
          <w:szCs w:val="24"/>
        </w:rPr>
        <w:t>Jellyby</w:t>
      </w:r>
      <w:proofErr w:type="spellEnd"/>
      <w:r w:rsidRPr="00204128">
        <w:rPr>
          <w:rFonts w:ascii="Times New Roman" w:hAnsi="Times New Roman" w:cs="Times New Roman"/>
          <w:color w:val="000000"/>
          <w:sz w:val="24"/>
          <w:szCs w:val="24"/>
        </w:rPr>
        <w:t xml:space="preserve">. A balanced approach must also include a discussion of the benefits of the missionary meetings </w:t>
      </w:r>
      <w:r w:rsidRPr="00204128">
        <w:rPr>
          <w:rFonts w:ascii="Times New Roman" w:hAnsi="Times New Roman" w:cs="Times New Roman"/>
          <w:color w:val="000000"/>
          <w:sz w:val="24"/>
          <w:szCs w:val="24"/>
        </w:rPr>
        <w:lastRenderedPageBreak/>
        <w:t xml:space="preserve">within England, particularly that of encouraging “Victorian evangelicals to think about </w:t>
      </w:r>
      <w:proofErr w:type="spellStart"/>
      <w:r w:rsidRPr="00204128">
        <w:rPr>
          <w:rFonts w:ascii="Times New Roman" w:hAnsi="Times New Roman" w:cs="Times New Roman"/>
          <w:color w:val="000000"/>
          <w:sz w:val="24"/>
          <w:szCs w:val="24"/>
        </w:rPr>
        <w:t>colonised</w:t>
      </w:r>
      <w:proofErr w:type="spellEnd"/>
      <w:r w:rsidRPr="00204128">
        <w:rPr>
          <w:rFonts w:ascii="Times New Roman" w:hAnsi="Times New Roman" w:cs="Times New Roman"/>
          <w:color w:val="000000"/>
          <w:sz w:val="24"/>
          <w:szCs w:val="24"/>
        </w:rPr>
        <w:t xml:space="preserve"> people on a regular basis</w:t>
      </w:r>
      <w:r w:rsidR="00D76C3B">
        <w:rPr>
          <w:rFonts w:ascii="Times New Roman" w:hAnsi="Times New Roman" w:cs="Times New Roman"/>
          <w:color w:val="000000"/>
          <w:sz w:val="24"/>
          <w:szCs w:val="24"/>
        </w:rPr>
        <w:t>.”</w:t>
      </w:r>
      <w:r w:rsidR="00D76C3B">
        <w:rPr>
          <w:rStyle w:val="FootnoteReference"/>
          <w:rFonts w:ascii="Times New Roman" w:hAnsi="Times New Roman" w:cs="Times New Roman"/>
          <w:color w:val="000000"/>
          <w:sz w:val="24"/>
          <w:szCs w:val="24"/>
        </w:rPr>
        <w:footnoteReference w:customMarkFollows="1" w:id="3"/>
        <w:t>1</w:t>
      </w:r>
      <w:r w:rsidRPr="00204128">
        <w:rPr>
          <w:rFonts w:ascii="Times New Roman" w:hAnsi="Times New Roman" w:cs="Times New Roman"/>
          <w:color w:val="000000"/>
          <w:sz w:val="24"/>
          <w:szCs w:val="24"/>
        </w:rPr>
        <w:br/>
      </w:r>
      <w:r w:rsidRPr="00204128">
        <w:rPr>
          <w:rStyle w:val="apple-tab-span"/>
          <w:rFonts w:ascii="Times New Roman" w:hAnsi="Times New Roman" w:cs="Times New Roman"/>
          <w:color w:val="000000"/>
          <w:sz w:val="24"/>
          <w:szCs w:val="24"/>
        </w:rPr>
        <w:tab/>
      </w:r>
      <w:r w:rsidRPr="00204128">
        <w:rPr>
          <w:rFonts w:ascii="Times New Roman" w:hAnsi="Times New Roman" w:cs="Times New Roman"/>
          <w:color w:val="000000"/>
          <w:sz w:val="24"/>
          <w:szCs w:val="24"/>
        </w:rPr>
        <w:t xml:space="preserve">Another major focus for the paper will be the reliance on rhetorical preaching of Evangelical leaders. Depicted as golden-tongued hypocrites in the literature, characters such as Godfrey </w:t>
      </w:r>
      <w:proofErr w:type="spellStart"/>
      <w:r w:rsidRPr="00204128">
        <w:rPr>
          <w:rFonts w:ascii="Times New Roman" w:hAnsi="Times New Roman" w:cs="Times New Roman"/>
          <w:color w:val="000000"/>
          <w:sz w:val="24"/>
          <w:szCs w:val="24"/>
        </w:rPr>
        <w:t>Ablewhite</w:t>
      </w:r>
      <w:proofErr w:type="spellEnd"/>
      <w:r w:rsidRPr="00204128">
        <w:rPr>
          <w:rFonts w:ascii="Times New Roman" w:hAnsi="Times New Roman" w:cs="Times New Roman"/>
          <w:color w:val="000000"/>
          <w:sz w:val="24"/>
          <w:szCs w:val="24"/>
        </w:rPr>
        <w:t xml:space="preserve">, Reverend </w:t>
      </w:r>
      <w:proofErr w:type="spellStart"/>
      <w:r w:rsidRPr="00204128">
        <w:rPr>
          <w:rFonts w:ascii="Times New Roman" w:hAnsi="Times New Roman" w:cs="Times New Roman"/>
          <w:color w:val="000000"/>
          <w:sz w:val="24"/>
          <w:szCs w:val="24"/>
        </w:rPr>
        <w:t>Chadband</w:t>
      </w:r>
      <w:proofErr w:type="spellEnd"/>
      <w:r w:rsidRPr="00204128">
        <w:rPr>
          <w:rFonts w:ascii="Times New Roman" w:hAnsi="Times New Roman" w:cs="Times New Roman"/>
          <w:color w:val="000000"/>
          <w:sz w:val="24"/>
          <w:szCs w:val="24"/>
        </w:rPr>
        <w:t>, and St. John draw captivated audiences into actions</w:t>
      </w:r>
      <w:r w:rsidR="00D76C3B">
        <w:rPr>
          <w:rFonts w:ascii="Times New Roman" w:hAnsi="Times New Roman" w:cs="Times New Roman"/>
          <w:color w:val="000000"/>
          <w:sz w:val="24"/>
          <w:szCs w:val="24"/>
        </w:rPr>
        <w:t>,</w:t>
      </w:r>
      <w:r w:rsidRPr="00204128">
        <w:rPr>
          <w:rFonts w:ascii="Times New Roman" w:hAnsi="Times New Roman" w:cs="Times New Roman"/>
          <w:color w:val="000000"/>
          <w:sz w:val="24"/>
          <w:szCs w:val="24"/>
        </w:rPr>
        <w:t xml:space="preserve"> feelings</w:t>
      </w:r>
      <w:r w:rsidR="00D76C3B">
        <w:rPr>
          <w:rFonts w:ascii="Times New Roman" w:hAnsi="Times New Roman" w:cs="Times New Roman"/>
          <w:color w:val="000000"/>
          <w:sz w:val="24"/>
          <w:szCs w:val="24"/>
        </w:rPr>
        <w:t>,</w:t>
      </w:r>
      <w:r w:rsidRPr="00204128">
        <w:rPr>
          <w:rFonts w:ascii="Times New Roman" w:hAnsi="Times New Roman" w:cs="Times New Roman"/>
          <w:color w:val="000000"/>
          <w:sz w:val="24"/>
          <w:szCs w:val="24"/>
        </w:rPr>
        <w:t xml:space="preserve"> and values that they don’t necessarily have. Of the three, St. John is the only one who can be defended, as he is one whose actions show that he is willing to “lose hi</w:t>
      </w:r>
      <w:r w:rsidR="00D76C3B">
        <w:rPr>
          <w:rFonts w:ascii="Times New Roman" w:hAnsi="Times New Roman" w:cs="Times New Roman"/>
          <w:color w:val="000000"/>
          <w:sz w:val="24"/>
          <w:szCs w:val="24"/>
        </w:rPr>
        <w:t>s life” in order to gain Christ.</w:t>
      </w:r>
      <w:r w:rsidR="00D76C3B">
        <w:rPr>
          <w:rStyle w:val="FootnoteReference"/>
          <w:rFonts w:ascii="Times New Roman" w:hAnsi="Times New Roman" w:cs="Times New Roman"/>
          <w:color w:val="000000"/>
          <w:sz w:val="24"/>
          <w:szCs w:val="24"/>
        </w:rPr>
        <w:footnoteReference w:customMarkFollows="1" w:id="4"/>
        <w:t>2</w:t>
      </w:r>
      <w:r w:rsidR="00D76C3B">
        <w:rPr>
          <w:rFonts w:ascii="Times New Roman" w:hAnsi="Times New Roman" w:cs="Times New Roman"/>
          <w:color w:val="000000"/>
          <w:sz w:val="24"/>
          <w:szCs w:val="24"/>
        </w:rPr>
        <w:t xml:space="preserve"> </w:t>
      </w:r>
      <w:r w:rsidRPr="00204128">
        <w:rPr>
          <w:rFonts w:ascii="Times New Roman" w:hAnsi="Times New Roman" w:cs="Times New Roman"/>
          <w:color w:val="000000"/>
          <w:sz w:val="24"/>
          <w:szCs w:val="24"/>
        </w:rPr>
        <w:t>A historical approach will also be taken in providing background to this reputation of outspokenness.</w:t>
      </w:r>
      <w:r w:rsidRPr="00204128">
        <w:rPr>
          <w:rFonts w:ascii="Times New Roman" w:hAnsi="Times New Roman" w:cs="Times New Roman"/>
          <w:color w:val="000000"/>
          <w:sz w:val="24"/>
          <w:szCs w:val="24"/>
        </w:rPr>
        <w:br/>
      </w:r>
      <w:r w:rsidRPr="00204128">
        <w:rPr>
          <w:rStyle w:val="apple-tab-span"/>
          <w:rFonts w:ascii="Times New Roman" w:hAnsi="Times New Roman" w:cs="Times New Roman"/>
          <w:color w:val="000000"/>
          <w:sz w:val="24"/>
          <w:szCs w:val="24"/>
        </w:rPr>
        <w:tab/>
      </w:r>
      <w:r w:rsidRPr="00204128">
        <w:rPr>
          <w:rFonts w:ascii="Times New Roman" w:hAnsi="Times New Roman" w:cs="Times New Roman"/>
          <w:color w:val="000000"/>
          <w:sz w:val="24"/>
          <w:szCs w:val="24"/>
        </w:rPr>
        <w:t xml:space="preserve">Additionally, biographical information will be explored to discuss the philosophies and events that drive the literature of Bronte, Dickens, and Collins. For instance, the difference in their views concerning final </w:t>
      </w:r>
      <w:r w:rsidR="00D76C3B" w:rsidRPr="00204128">
        <w:rPr>
          <w:rFonts w:ascii="Times New Roman" w:hAnsi="Times New Roman" w:cs="Times New Roman"/>
          <w:color w:val="000000"/>
          <w:sz w:val="24"/>
          <w:szCs w:val="24"/>
        </w:rPr>
        <w:t>judgment</w:t>
      </w:r>
      <w:r w:rsidRPr="00204128">
        <w:rPr>
          <w:rFonts w:ascii="Times New Roman" w:hAnsi="Times New Roman" w:cs="Times New Roman"/>
          <w:color w:val="000000"/>
          <w:sz w:val="24"/>
          <w:szCs w:val="24"/>
        </w:rPr>
        <w:t xml:space="preserve"> directly contribute</w:t>
      </w:r>
      <w:r w:rsidR="00D76C3B">
        <w:rPr>
          <w:rFonts w:ascii="Times New Roman" w:hAnsi="Times New Roman" w:cs="Times New Roman"/>
          <w:color w:val="000000"/>
          <w:sz w:val="24"/>
          <w:szCs w:val="24"/>
        </w:rPr>
        <w:t>s</w:t>
      </w:r>
      <w:r w:rsidRPr="00204128">
        <w:rPr>
          <w:rFonts w:ascii="Times New Roman" w:hAnsi="Times New Roman" w:cs="Times New Roman"/>
          <w:color w:val="000000"/>
          <w:sz w:val="24"/>
          <w:szCs w:val="24"/>
        </w:rPr>
        <w:t xml:space="preserve"> to the type of satire found in Collins versus what is found in Dickens. Dickens’ attempts to coalesce the ideas of Divine Providence and evolutionary theory can be seen in </w:t>
      </w:r>
      <w:r w:rsidRPr="00204128">
        <w:rPr>
          <w:rFonts w:ascii="Times New Roman" w:hAnsi="Times New Roman" w:cs="Times New Roman"/>
          <w:i/>
          <w:iCs/>
          <w:color w:val="000000"/>
          <w:sz w:val="24"/>
          <w:szCs w:val="24"/>
        </w:rPr>
        <w:t>Bleak House</w:t>
      </w:r>
      <w:r w:rsidRPr="00204128">
        <w:rPr>
          <w:rFonts w:ascii="Times New Roman" w:hAnsi="Times New Roman" w:cs="Times New Roman"/>
          <w:color w:val="000000"/>
          <w:sz w:val="24"/>
          <w:szCs w:val="24"/>
        </w:rPr>
        <w:t>.</w:t>
      </w:r>
      <w:r w:rsidR="00D76C3B">
        <w:rPr>
          <w:rStyle w:val="FootnoteReference"/>
          <w:rFonts w:ascii="Times New Roman" w:hAnsi="Times New Roman" w:cs="Times New Roman"/>
          <w:color w:val="000000"/>
          <w:sz w:val="24"/>
          <w:szCs w:val="24"/>
        </w:rPr>
        <w:footnoteReference w:customMarkFollows="1" w:id="5"/>
        <w:t>3</w:t>
      </w:r>
      <w:r w:rsidRPr="00204128">
        <w:rPr>
          <w:rFonts w:ascii="Times New Roman" w:hAnsi="Times New Roman" w:cs="Times New Roman"/>
          <w:color w:val="000000"/>
          <w:sz w:val="24"/>
          <w:szCs w:val="24"/>
        </w:rPr>
        <w:t xml:space="preserve"> Bronte will also be explored, especially in the context of her entire family and the direct influences and clear ties with religious individuals around the family.</w:t>
      </w:r>
    </w:p>
    <w:p w:rsidR="00204128" w:rsidRPr="00204128" w:rsidRDefault="00204128" w:rsidP="00204128">
      <w:pPr>
        <w:spacing w:line="480" w:lineRule="auto"/>
        <w:rPr>
          <w:rFonts w:ascii="Times New Roman" w:hAnsi="Times New Roman" w:cs="Times New Roman"/>
          <w:sz w:val="24"/>
          <w:szCs w:val="24"/>
        </w:rPr>
      </w:pPr>
      <w:r>
        <w:rPr>
          <w:rFonts w:ascii="Times New Roman" w:hAnsi="Times New Roman" w:cs="Times New Roman"/>
          <w:color w:val="000000"/>
          <w:sz w:val="24"/>
          <w:szCs w:val="24"/>
        </w:rPr>
        <w:tab/>
        <w:t xml:space="preserve">Also of interest to this research are the characters of Rosanna Spearman (The Moonstone) and Helen Burns (Jane Eyre). Both will be placed inside the context of the values of the Evangelical Movement and examined for both their own actions and the actions of others </w:t>
      </w:r>
      <w:r>
        <w:rPr>
          <w:rFonts w:ascii="Times New Roman" w:hAnsi="Times New Roman" w:cs="Times New Roman"/>
          <w:color w:val="000000"/>
          <w:sz w:val="24"/>
          <w:szCs w:val="24"/>
        </w:rPr>
        <w:lastRenderedPageBreak/>
        <w:t>towards them. As they are both of lower social status, a connection will be made between these authors’ commentary and the biblical Beatitudes from Christ’s Sermon on the Moun</w:t>
      </w:r>
      <w:bookmarkStart w:id="0" w:name="_GoBack"/>
      <w:bookmarkEnd w:id="0"/>
      <w:r>
        <w:rPr>
          <w:rFonts w:ascii="Times New Roman" w:hAnsi="Times New Roman" w:cs="Times New Roman"/>
          <w:color w:val="000000"/>
          <w:sz w:val="24"/>
          <w:szCs w:val="24"/>
        </w:rPr>
        <w:t>t.</w:t>
      </w:r>
    </w:p>
    <w:sectPr w:rsidR="00204128" w:rsidRPr="002041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C18" w:rsidRDefault="00B47C18" w:rsidP="004415B8">
      <w:pPr>
        <w:spacing w:after="0" w:line="240" w:lineRule="auto"/>
      </w:pPr>
      <w:r>
        <w:separator/>
      </w:r>
    </w:p>
  </w:endnote>
  <w:endnote w:type="continuationSeparator" w:id="0">
    <w:p w:rsidR="00B47C18" w:rsidRDefault="00B47C18" w:rsidP="00441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C18" w:rsidRDefault="00B47C18" w:rsidP="004415B8">
      <w:pPr>
        <w:spacing w:after="0" w:line="240" w:lineRule="auto"/>
      </w:pPr>
      <w:r>
        <w:separator/>
      </w:r>
    </w:p>
  </w:footnote>
  <w:footnote w:type="continuationSeparator" w:id="0">
    <w:p w:rsidR="00B47C18" w:rsidRDefault="00B47C18" w:rsidP="004415B8">
      <w:pPr>
        <w:spacing w:after="0" w:line="240" w:lineRule="auto"/>
      </w:pPr>
      <w:r>
        <w:continuationSeparator/>
      </w:r>
    </w:p>
  </w:footnote>
  <w:footnote w:id="1">
    <w:p w:rsidR="004415B8" w:rsidRDefault="004415B8">
      <w:pPr>
        <w:pStyle w:val="FootnoteText"/>
      </w:pPr>
      <w:r>
        <w:rPr>
          <w:rStyle w:val="FootnoteReference"/>
        </w:rPr>
        <w:footnoteRef/>
      </w:r>
      <w:r>
        <w:t xml:space="preserve"> </w:t>
      </w:r>
      <w:r>
        <w:rPr>
          <w:rFonts w:ascii="Times New Roman" w:hAnsi="Times New Roman" w:cs="Times New Roman"/>
          <w:color w:val="000000"/>
          <w:sz w:val="24"/>
          <w:szCs w:val="24"/>
        </w:rPr>
        <w:t xml:space="preserve">Thorne, Susan. </w:t>
      </w:r>
      <w:proofErr w:type="gramStart"/>
      <w:r>
        <w:rPr>
          <w:rFonts w:ascii="Times New Roman" w:hAnsi="Times New Roman" w:cs="Times New Roman"/>
          <w:color w:val="000000"/>
          <w:sz w:val="24"/>
          <w:szCs w:val="24"/>
        </w:rPr>
        <w:t>“Religion and Empire at Home.”</w:t>
      </w:r>
      <w:proofErr w:type="gramEnd"/>
      <w:r>
        <w:rPr>
          <w:rFonts w:ascii="Times New Roman" w:hAnsi="Times New Roman" w:cs="Times New Roman"/>
          <w:color w:val="000000"/>
          <w:sz w:val="24"/>
          <w:szCs w:val="24"/>
        </w:rPr>
        <w:t xml:space="preserve"> </w:t>
      </w:r>
      <w:proofErr w:type="gramStart"/>
      <w:r w:rsidRPr="00A01D85">
        <w:rPr>
          <w:rFonts w:ascii="Times New Roman" w:hAnsi="Times New Roman" w:cs="Times New Roman"/>
          <w:i/>
          <w:color w:val="000000"/>
          <w:sz w:val="24"/>
          <w:szCs w:val="24"/>
        </w:rPr>
        <w:t>At Home with the Empire</w:t>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Ed. Hall, Catherine and Sonya Rose.</w:t>
      </w:r>
      <w:proofErr w:type="gramEnd"/>
      <w:r>
        <w:rPr>
          <w:rFonts w:ascii="Times New Roman" w:hAnsi="Times New Roman" w:cs="Times New Roman"/>
          <w:color w:val="000000"/>
          <w:sz w:val="24"/>
          <w:szCs w:val="24"/>
        </w:rPr>
        <w:t xml:space="preserve"> Cambridge: Cambridge University Press, 2006. </w:t>
      </w:r>
      <w:proofErr w:type="gramStart"/>
      <w:r>
        <w:rPr>
          <w:rFonts w:ascii="Times New Roman" w:hAnsi="Times New Roman" w:cs="Times New Roman"/>
          <w:color w:val="000000"/>
          <w:sz w:val="24"/>
          <w:szCs w:val="24"/>
        </w:rPr>
        <w:t>143-165. Print.</w:t>
      </w:r>
      <w:proofErr w:type="gramEnd"/>
    </w:p>
  </w:footnote>
  <w:footnote w:id="2">
    <w:p w:rsidR="00D76C3B" w:rsidRDefault="00D76C3B">
      <w:pPr>
        <w:pStyle w:val="FootnoteText"/>
      </w:pPr>
    </w:p>
  </w:footnote>
  <w:footnote w:id="3">
    <w:p w:rsidR="00D76C3B" w:rsidRDefault="00D76C3B">
      <w:pPr>
        <w:pStyle w:val="FootnoteText"/>
      </w:pPr>
      <w:r>
        <w:rPr>
          <w:rStyle w:val="FootnoteReference"/>
        </w:rPr>
        <w:t>1</w:t>
      </w:r>
      <w:r>
        <w:t xml:space="preserve"> </w:t>
      </w:r>
      <w:r>
        <w:rPr>
          <w:rFonts w:ascii="Times New Roman" w:hAnsi="Times New Roman" w:cs="Times New Roman"/>
          <w:color w:val="000000"/>
          <w:sz w:val="24"/>
          <w:szCs w:val="24"/>
        </w:rPr>
        <w:t xml:space="preserve">Thorne, Susan. </w:t>
      </w:r>
      <w:proofErr w:type="gramStart"/>
      <w:r>
        <w:rPr>
          <w:rFonts w:ascii="Times New Roman" w:hAnsi="Times New Roman" w:cs="Times New Roman"/>
          <w:color w:val="000000"/>
          <w:sz w:val="24"/>
          <w:szCs w:val="24"/>
        </w:rPr>
        <w:t>“Religion and Empire at Home.”</w:t>
      </w:r>
      <w:proofErr w:type="gramEnd"/>
      <w:r>
        <w:rPr>
          <w:rFonts w:ascii="Times New Roman" w:hAnsi="Times New Roman" w:cs="Times New Roman"/>
          <w:color w:val="000000"/>
          <w:sz w:val="24"/>
          <w:szCs w:val="24"/>
        </w:rPr>
        <w:t xml:space="preserve"> </w:t>
      </w:r>
      <w:proofErr w:type="gramStart"/>
      <w:r w:rsidRPr="00A01D85">
        <w:rPr>
          <w:rFonts w:ascii="Times New Roman" w:hAnsi="Times New Roman" w:cs="Times New Roman"/>
          <w:i/>
          <w:color w:val="000000"/>
          <w:sz w:val="24"/>
          <w:szCs w:val="24"/>
        </w:rPr>
        <w:t>At Home with the Empire</w:t>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Ed. Hall, Catherine and Sonya Rose.</w:t>
      </w:r>
      <w:proofErr w:type="gramEnd"/>
      <w:r>
        <w:rPr>
          <w:rFonts w:ascii="Times New Roman" w:hAnsi="Times New Roman" w:cs="Times New Roman"/>
          <w:color w:val="000000"/>
          <w:sz w:val="24"/>
          <w:szCs w:val="24"/>
        </w:rPr>
        <w:t xml:space="preserve"> Cambridge: Cambridge University Press, 2006. </w:t>
      </w:r>
      <w:proofErr w:type="gramStart"/>
      <w:r>
        <w:rPr>
          <w:rFonts w:ascii="Times New Roman" w:hAnsi="Times New Roman" w:cs="Times New Roman"/>
          <w:color w:val="000000"/>
          <w:sz w:val="24"/>
          <w:szCs w:val="24"/>
        </w:rPr>
        <w:t>143-165. Print.</w:t>
      </w:r>
      <w:proofErr w:type="gramEnd"/>
    </w:p>
  </w:footnote>
  <w:footnote w:id="4">
    <w:p w:rsidR="00D76C3B" w:rsidRDefault="00D76C3B">
      <w:pPr>
        <w:pStyle w:val="FootnoteText"/>
      </w:pPr>
      <w:r>
        <w:rPr>
          <w:rStyle w:val="FootnoteReference"/>
        </w:rPr>
        <w:t>2</w:t>
      </w:r>
      <w:r>
        <w:t xml:space="preserve"> </w:t>
      </w:r>
      <w:proofErr w:type="spellStart"/>
      <w:r w:rsidRPr="003A3953">
        <w:rPr>
          <w:rFonts w:ascii="Times New Roman" w:hAnsi="Times New Roman" w:cs="Times New Roman"/>
          <w:bCs/>
          <w:color w:val="000000"/>
          <w:sz w:val="24"/>
          <w:szCs w:val="24"/>
        </w:rPr>
        <w:t>Thormahlen</w:t>
      </w:r>
      <w:proofErr w:type="spellEnd"/>
      <w:r w:rsidRPr="003A3953">
        <w:rPr>
          <w:rFonts w:ascii="Times New Roman" w:hAnsi="Times New Roman" w:cs="Times New Roman"/>
          <w:bCs/>
          <w:color w:val="000000"/>
          <w:sz w:val="24"/>
          <w:szCs w:val="24"/>
        </w:rPr>
        <w:t xml:space="preserve">, Marianne. </w:t>
      </w:r>
      <w:proofErr w:type="gramStart"/>
      <w:r w:rsidRPr="008E0FE2">
        <w:rPr>
          <w:rFonts w:ascii="Times New Roman" w:hAnsi="Times New Roman" w:cs="Times New Roman"/>
          <w:bCs/>
          <w:i/>
          <w:color w:val="000000"/>
          <w:sz w:val="24"/>
          <w:szCs w:val="24"/>
        </w:rPr>
        <w:t xml:space="preserve">The </w:t>
      </w:r>
      <w:proofErr w:type="spellStart"/>
      <w:r w:rsidRPr="008E0FE2">
        <w:rPr>
          <w:rFonts w:ascii="Times New Roman" w:hAnsi="Times New Roman" w:cs="Times New Roman"/>
          <w:bCs/>
          <w:i/>
          <w:color w:val="000000"/>
          <w:sz w:val="24"/>
          <w:szCs w:val="24"/>
        </w:rPr>
        <w:t>Brontes</w:t>
      </w:r>
      <w:proofErr w:type="spellEnd"/>
      <w:r w:rsidRPr="008E0FE2">
        <w:rPr>
          <w:rFonts w:ascii="Times New Roman" w:hAnsi="Times New Roman" w:cs="Times New Roman"/>
          <w:bCs/>
          <w:i/>
          <w:color w:val="000000"/>
          <w:sz w:val="24"/>
          <w:szCs w:val="24"/>
        </w:rPr>
        <w:t xml:space="preserve"> and Religion</w:t>
      </w:r>
      <w:r w:rsidRPr="003A3953">
        <w:rPr>
          <w:rFonts w:ascii="Times New Roman" w:hAnsi="Times New Roman" w:cs="Times New Roman"/>
          <w:bCs/>
          <w:color w:val="000000"/>
          <w:sz w:val="24"/>
          <w:szCs w:val="24"/>
        </w:rPr>
        <w:t>.</w:t>
      </w:r>
      <w:proofErr w:type="gramEnd"/>
      <w:r w:rsidRPr="003A3953">
        <w:rPr>
          <w:rFonts w:ascii="Times New Roman" w:hAnsi="Times New Roman" w:cs="Times New Roman"/>
          <w:bCs/>
          <w:color w:val="000000"/>
          <w:sz w:val="24"/>
          <w:szCs w:val="24"/>
        </w:rPr>
        <w:t xml:space="preserve"> Cambridge: Cambridge University Press, 1999. Print.</w:t>
      </w:r>
    </w:p>
  </w:footnote>
  <w:footnote w:id="5">
    <w:p w:rsidR="00D76C3B" w:rsidRDefault="00D76C3B">
      <w:pPr>
        <w:pStyle w:val="FootnoteText"/>
      </w:pPr>
      <w:r>
        <w:rPr>
          <w:rStyle w:val="FootnoteReference"/>
        </w:rPr>
        <w:t>3</w:t>
      </w:r>
      <w:r>
        <w:t xml:space="preserve"> </w:t>
      </w:r>
      <w:r>
        <w:rPr>
          <w:rFonts w:ascii="Times New Roman" w:hAnsi="Times New Roman" w:cs="Times New Roman"/>
          <w:color w:val="000000"/>
          <w:sz w:val="24"/>
          <w:szCs w:val="24"/>
        </w:rPr>
        <w:t xml:space="preserve">Axton, William F. “Religious and Scientific Imagery in </w:t>
      </w:r>
      <w:r w:rsidRPr="007652AA">
        <w:rPr>
          <w:rFonts w:ascii="Times New Roman" w:hAnsi="Times New Roman" w:cs="Times New Roman"/>
          <w:i/>
          <w:color w:val="000000"/>
          <w:sz w:val="24"/>
          <w:szCs w:val="24"/>
        </w:rPr>
        <w:t>Bleak House</w:t>
      </w:r>
      <w:r>
        <w:rPr>
          <w:rFonts w:ascii="Times New Roman" w:hAnsi="Times New Roman" w:cs="Times New Roman"/>
          <w:color w:val="000000"/>
          <w:sz w:val="24"/>
          <w:szCs w:val="24"/>
        </w:rPr>
        <w:t xml:space="preserve">.” </w:t>
      </w:r>
      <w:proofErr w:type="gramStart"/>
      <w:r w:rsidRPr="007652AA">
        <w:rPr>
          <w:rFonts w:ascii="Times New Roman" w:hAnsi="Times New Roman" w:cs="Times New Roman"/>
          <w:i/>
          <w:color w:val="000000"/>
          <w:sz w:val="24"/>
          <w:szCs w:val="24"/>
        </w:rPr>
        <w:t>Nineteenth-Century Fiction</w:t>
      </w:r>
      <w:r>
        <w:rPr>
          <w:rFonts w:ascii="Times New Roman" w:hAnsi="Times New Roman" w:cs="Times New Roman"/>
          <w:color w:val="000000"/>
          <w:sz w:val="24"/>
          <w:szCs w:val="24"/>
        </w:rPr>
        <w:t xml:space="preserve"> 22.4 (1968).</w:t>
      </w:r>
      <w:proofErr w:type="gramEnd"/>
      <w:r>
        <w:rPr>
          <w:rFonts w:ascii="Times New Roman" w:hAnsi="Times New Roman" w:cs="Times New Roman"/>
          <w:color w:val="000000"/>
          <w:sz w:val="24"/>
          <w:szCs w:val="24"/>
        </w:rPr>
        <w:t xml:space="preserve"> </w:t>
      </w:r>
      <w:proofErr w:type="gramStart"/>
      <w:r w:rsidRPr="008E0FE2">
        <w:rPr>
          <w:rFonts w:ascii="Times New Roman" w:hAnsi="Times New Roman" w:cs="Times New Roman"/>
          <w:bCs/>
          <w:i/>
          <w:color w:val="000000"/>
          <w:sz w:val="24"/>
          <w:szCs w:val="24"/>
        </w:rPr>
        <w:t>JSTOR</w:t>
      </w:r>
      <w:r>
        <w:rPr>
          <w:rFonts w:ascii="Times New Roman" w:hAnsi="Times New Roman" w:cs="Times New Roman"/>
          <w:bCs/>
          <w:color w:val="000000"/>
          <w:sz w:val="24"/>
          <w:szCs w:val="24"/>
        </w:rPr>
        <w:t>.</w:t>
      </w:r>
      <w:proofErr w:type="gramEnd"/>
      <w:r>
        <w:rPr>
          <w:rFonts w:ascii="Times New Roman" w:hAnsi="Times New Roman" w:cs="Times New Roman"/>
          <w:bCs/>
          <w:color w:val="000000"/>
          <w:sz w:val="24"/>
          <w:szCs w:val="24"/>
        </w:rPr>
        <w:t xml:space="preserve"> </w:t>
      </w:r>
      <w:proofErr w:type="gramStart"/>
      <w:r>
        <w:rPr>
          <w:rFonts w:ascii="Times New Roman" w:hAnsi="Times New Roman" w:cs="Times New Roman"/>
          <w:bCs/>
          <w:color w:val="000000"/>
          <w:sz w:val="24"/>
          <w:szCs w:val="24"/>
        </w:rPr>
        <w:t>Web.</w:t>
      </w:r>
      <w:proofErr w:type="gramEnd"/>
      <w:r>
        <w:rPr>
          <w:rFonts w:ascii="Times New Roman" w:hAnsi="Times New Roman" w:cs="Times New Roman"/>
          <w:bCs/>
          <w:color w:val="000000"/>
          <w:sz w:val="24"/>
          <w:szCs w:val="24"/>
        </w:rPr>
        <w:t xml:space="preserve"> 10</w:t>
      </w:r>
      <w:r w:rsidRPr="008E0FE2">
        <w:rPr>
          <w:rFonts w:ascii="Times New Roman" w:hAnsi="Times New Roman" w:cs="Times New Roman"/>
          <w:bCs/>
          <w:color w:val="000000"/>
          <w:sz w:val="24"/>
          <w:szCs w:val="24"/>
        </w:rPr>
        <w:t xml:space="preserve"> Mar. 2012.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128"/>
    <w:rsid w:val="00204128"/>
    <w:rsid w:val="004415B8"/>
    <w:rsid w:val="005A2C0E"/>
    <w:rsid w:val="008F40C1"/>
    <w:rsid w:val="00B47C18"/>
    <w:rsid w:val="00D76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1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204128"/>
  </w:style>
  <w:style w:type="paragraph" w:styleId="FootnoteText">
    <w:name w:val="footnote text"/>
    <w:basedOn w:val="Normal"/>
    <w:link w:val="FootnoteTextChar"/>
    <w:uiPriority w:val="99"/>
    <w:semiHidden/>
    <w:unhideWhenUsed/>
    <w:rsid w:val="004415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15B8"/>
    <w:rPr>
      <w:sz w:val="20"/>
      <w:szCs w:val="20"/>
    </w:rPr>
  </w:style>
  <w:style w:type="character" w:styleId="FootnoteReference">
    <w:name w:val="footnote reference"/>
    <w:basedOn w:val="DefaultParagraphFont"/>
    <w:uiPriority w:val="99"/>
    <w:semiHidden/>
    <w:unhideWhenUsed/>
    <w:rsid w:val="004415B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1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204128"/>
  </w:style>
  <w:style w:type="paragraph" w:styleId="FootnoteText">
    <w:name w:val="footnote text"/>
    <w:basedOn w:val="Normal"/>
    <w:link w:val="FootnoteTextChar"/>
    <w:uiPriority w:val="99"/>
    <w:semiHidden/>
    <w:unhideWhenUsed/>
    <w:rsid w:val="004415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15B8"/>
    <w:rPr>
      <w:sz w:val="20"/>
      <w:szCs w:val="20"/>
    </w:rPr>
  </w:style>
  <w:style w:type="character" w:styleId="FootnoteReference">
    <w:name w:val="footnote reference"/>
    <w:basedOn w:val="DefaultParagraphFont"/>
    <w:uiPriority w:val="99"/>
    <w:semiHidden/>
    <w:unhideWhenUsed/>
    <w:rsid w:val="004415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D35C0-90EA-4987-863B-18FF25672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510</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Dykstra</dc:creator>
  <cp:lastModifiedBy>Dykstra</cp:lastModifiedBy>
  <cp:revision>2</cp:revision>
  <dcterms:created xsi:type="dcterms:W3CDTF">2012-03-26T02:00:00Z</dcterms:created>
  <dcterms:modified xsi:type="dcterms:W3CDTF">2012-03-27T02:38:00Z</dcterms:modified>
</cp:coreProperties>
</file>